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"Вестнике Банка России" № 73 (1391) от 19 декабря 2012 года опубликовано Указание Банка России от 03 декабря 2012 № 2920-У "О внесении изменений в Положение Банка России от 26 марта 2004 года № 254-П "О порядке формирования кредитными организациями резервов на возможные потери по ссудам, по ссудной и приравненной к ним задолженности". Документ вводит нормы льготного расчета резервирования по финансовым обязательствам банков, имеющим обеспечение в виде договоров страхования экспортных кредитов и инвестиций, заключаемых с клиентами банков дочерней компанией госкорпорации ВЭБ - ОАО "Агентство по страхованию экспортных кредитов и инвестиций" (ОАО "ЭКСАР"). Выход документа позволил реализовать пункт 13 плана мероприятий "Поддержка доступа на рынки зарубежных стран и поддержка экспорта", утвержденного Распоряжением Правительства РФ от 29.06.2012 №1228-р.Пункт 13 разработанной Агентством стратегических инициатив в апреле 2012 года "дорожной карты" "Поддержка доступа на рынки зарубежных стран и поддержка экспорта", ставшей основой распоряжения Правительства, нацелен на "стимулирование кредитных организаций к разработке и внедрению инновационных инструментов финансирования экспорта". Достичь данного результата разработчики "дорожной карты" планировали за счет "снижения нормы обязательного резервирования и достаточности капитала по активам, сформированным кредитами и процентами по ним, выданными экспортерам с обеспечением в виде договоров страхования экспортных кредитов и инвестиций", которое предоставляет с 2012 года специально созданное агентство при Внешэкономбанке. Задача ОАО "ЭКСАР" - защита российских компаний-экспортеров от рисков неплатежа со стороны зарубежных покупателей российской несырьевой продукции.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"Дорожная карта" предусматривает существенное продвижение России в рейтинге Doing Business по разделу "Международная торговля" к 2018 году - за счет увеличения числа российских компаний-экспортеров из сферы малого и среднего бизнеса, роста доли несырьевого экспорта из России и его товарной диверсификации. Достижение этих показателей планируется за счет снятия административных барьеров валютного и таможенного регулирования, создания законодательных основ для инновационных финансовых продуктов связанных с несырьевым экспортом, включая экспортный факторинг, реализации стратегии продвижения российских товаров на зарубежные рынки, реформирование функций торговых представительств России за рубежом и др.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